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pzjediyiyvve" w:id="0"/>
      <w:bookmarkEnd w:id="0"/>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9bkicbh9ofrm" w:id="1"/>
      <w:bookmarkEnd w:id="1"/>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the Supplier shall provide a valid Cyber Essentials Certificate to CCS prior to the Commen</w:t>
      </w:r>
      <w:r w:rsidDel="00000000" w:rsidR="00000000" w:rsidRPr="00000000">
        <w:rPr>
          <w:rFonts w:ascii="Arial" w:cs="Arial" w:eastAsia="Arial" w:hAnsi="Arial"/>
          <w:sz w:val="24"/>
          <w:szCs w:val="24"/>
          <w:rtl w:val="0"/>
        </w:rPr>
        <w:t xml:space="preserve">cement Date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mld5x0ror1rv" w:id="2"/>
      <w:bookmarkEnd w:id="2"/>
      <w:r w:rsidDel="00000000" w:rsidR="00000000" w:rsidRPr="00000000">
        <w:rPr>
          <w:rFonts w:ascii="Arial" w:cs="Arial" w:eastAsia="Arial" w:hAnsi="Arial"/>
          <w:color w:val="000000"/>
          <w:sz w:val="24"/>
          <w:szCs w:val="24"/>
          <w:rtl w:val="0"/>
        </w:rPr>
        <w:t xml:space="preserve">2.2 </w:t>
      </w:r>
      <w:r w:rsidDel="00000000" w:rsidR="00000000" w:rsidRPr="00000000">
        <w:rPr>
          <w:rFonts w:ascii="Arial" w:cs="Arial" w:eastAsia="Arial" w:hAnsi="Arial"/>
          <w:sz w:val="24"/>
          <w:szCs w:val="24"/>
          <w:rtl w:val="0"/>
        </w:rPr>
        <w:t xml:space="preserve">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spacing w:after="120" w:before="120" w:line="240" w:lineRule="auto"/>
        <w:ind w:left="864" w:hanging="504"/>
        <w:rPr>
          <w:rFonts w:ascii="Arial" w:cs="Arial" w:eastAsia="Arial" w:hAnsi="Arial"/>
          <w:sz w:val="24"/>
          <w:szCs w:val="24"/>
        </w:rPr>
      </w:pPr>
      <w:bookmarkStart w:colFirst="0" w:colLast="0" w:name="_se90q19ucm8s" w:id="3"/>
      <w:bookmarkEnd w:id="3"/>
      <w:r w:rsidDel="00000000" w:rsidR="00000000" w:rsidRPr="00000000">
        <w:rPr>
          <w:rFonts w:ascii="Arial" w:cs="Arial" w:eastAsia="Arial" w:hAnsi="Arial"/>
          <w:sz w:val="24"/>
          <w:szCs w:val="24"/>
          <w:rtl w:val="0"/>
        </w:rPr>
        <w:t xml:space="preserve">2.3 In the event that the Supplier fails to comply with Paragraphs 2.1 or 2.2, CCS reserves the right to terminate this Contract for material Default.</w:t>
      </w:r>
    </w:p>
    <w:p w:rsidR="00000000" w:rsidDel="00000000" w:rsidP="00000000" w:rsidRDefault="00000000" w:rsidRPr="00000000" w14:paraId="00000013">
      <w:pPr>
        <w:spacing w:after="120" w:before="120" w:line="240" w:lineRule="auto"/>
        <w:ind w:left="864" w:hanging="504"/>
        <w:rPr>
          <w:rFonts w:ascii="Arial" w:cs="Arial" w:eastAsia="Arial" w:hAnsi="Arial"/>
          <w:sz w:val="24"/>
          <w:szCs w:val="24"/>
        </w:rPr>
      </w:pPr>
      <w:bookmarkStart w:colFirst="0" w:colLast="0" w:name="_hgwmrnilyq0v" w:id="5"/>
      <w:bookmarkEnd w:id="5"/>
      <w:r w:rsidDel="00000000" w:rsidR="00000000" w:rsidRPr="00000000">
        <w:rPr>
          <w:rFonts w:ascii="Arial" w:cs="Arial" w:eastAsia="Arial" w:hAnsi="Arial"/>
          <w:sz w:val="24"/>
          <w:szCs w:val="24"/>
          <w:rtl w:val="0"/>
        </w:rPr>
        <w:t xml:space="preserve">2.4</w:t>
        <w:tab/>
        <w:t xml:space="preserve">The Supplier shall ensure that all Sub-Contracts with Subcontractors who </w:t>
      </w:r>
      <w:bookmarkStart w:colFirst="0" w:colLast="0" w:name="wst6erkwwmrw" w:id="4"/>
      <w:bookmarkEnd w:id="4"/>
      <w:r w:rsidDel="00000000" w:rsidR="00000000" w:rsidRPr="00000000">
        <w:rPr>
          <w:rFonts w:ascii="Arial" w:cs="Arial" w:eastAsia="Arial" w:hAnsi="Arial"/>
          <w:sz w:val="24"/>
          <w:szCs w:val="24"/>
          <w:rtl w:val="0"/>
        </w:rPr>
        <w:t xml:space="preserve">Process Cyber Essentials Scheme Data contain provisions no less onerous on the Subcontractors than those imposed on the Supplier under this Contract in respect of the Cyber Essentials Scheme.</w:t>
      </w:r>
    </w:p>
    <w:p w:rsidR="00000000" w:rsidDel="00000000" w:rsidP="00000000" w:rsidRDefault="00000000" w:rsidRPr="00000000" w14:paraId="00000014">
      <w:pP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2.5 This Schedule shall survive termination or expiry of this Contract and each and any Call-Off Contract.</w:t>
      </w:r>
    </w:p>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